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9C3" w:rsidRPr="007B4902" w:rsidRDefault="00A139C3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A139C3" w:rsidRPr="007B4902" w:rsidRDefault="00F670E1" w:rsidP="00A139C3">
      <w:pPr>
        <w:pStyle w:val="Titolo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sz w:val="24"/>
        </w:rPr>
        <w:t>Parere variazione di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- 202</w:t>
      </w:r>
      <w:r w:rsidR="0089286B">
        <w:rPr>
          <w:rFonts w:ascii="Times New Roman" w:hAnsi="Times New Roman" w:cs="Times New Roman"/>
          <w:sz w:val="24"/>
        </w:rPr>
        <w:t>2</w:t>
      </w: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Pr="007B4902" w:rsidRDefault="00A139C3" w:rsidP="00A139C3">
      <w:pPr>
        <w:pStyle w:val="Titolo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  <w:r w:rsidRPr="007B4902">
        <w:rPr>
          <w:rFonts w:ascii="Times New Roman" w:hAnsi="Times New Roman" w:cs="Times New Roman"/>
          <w:i w:val="0"/>
          <w:sz w:val="24"/>
        </w:rPr>
        <w:t>Il Collegio dei Revisori</w:t>
      </w: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b w:val="0"/>
          <w:sz w:val="24"/>
        </w:rPr>
      </w:pP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Rag. Guido Calì</w:t>
      </w:r>
      <w:r w:rsidR="004C0388">
        <w:rPr>
          <w:rFonts w:ascii="Times New Roman" w:hAnsi="Times New Roman" w:cs="Times New Roman"/>
          <w:b w:val="0"/>
          <w:sz w:val="24"/>
        </w:rPr>
        <w:t xml:space="preserve"> - Presidente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Dott.ssa Monia Ibba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 Gianluca Zicca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Default="008E4265" w:rsidP="00A139C3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Parere</w:t>
      </w:r>
      <w:r w:rsidR="00F50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n.</w:t>
      </w:r>
      <w:r w:rsidR="00CB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5C">
        <w:rPr>
          <w:rFonts w:ascii="Times New Roman" w:hAnsi="Times New Roman" w:cs="Times New Roman"/>
          <w:b/>
          <w:sz w:val="24"/>
          <w:szCs w:val="24"/>
        </w:rPr>
        <w:t>43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 xml:space="preserve">  del   </w:t>
      </w:r>
      <w:r w:rsidR="00B560E6">
        <w:rPr>
          <w:rFonts w:ascii="Times New Roman" w:hAnsi="Times New Roman" w:cs="Times New Roman"/>
          <w:b/>
          <w:sz w:val="24"/>
          <w:szCs w:val="24"/>
        </w:rPr>
        <w:t>2</w:t>
      </w:r>
      <w:r w:rsidR="000C075C">
        <w:rPr>
          <w:rFonts w:ascii="Times New Roman" w:hAnsi="Times New Roman" w:cs="Times New Roman"/>
          <w:b/>
          <w:sz w:val="24"/>
          <w:szCs w:val="24"/>
        </w:rPr>
        <w:t>3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</w:t>
      </w:r>
      <w:r w:rsidR="000C075C">
        <w:rPr>
          <w:rFonts w:ascii="Times New Roman" w:hAnsi="Times New Roman" w:cs="Times New Roman"/>
          <w:b/>
          <w:sz w:val="24"/>
          <w:szCs w:val="24"/>
        </w:rPr>
        <w:t>11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/20</w:t>
      </w:r>
      <w:r w:rsidR="0089286B">
        <w:rPr>
          <w:rFonts w:ascii="Times New Roman" w:hAnsi="Times New Roman" w:cs="Times New Roman"/>
          <w:b/>
          <w:sz w:val="24"/>
          <w:szCs w:val="24"/>
        </w:rPr>
        <w:t>20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.</w:t>
      </w:r>
    </w:p>
    <w:p w:rsidR="00C4355D" w:rsidRPr="007B4902" w:rsidRDefault="00C4355D" w:rsidP="00A139C3">
      <w:pPr>
        <w:pStyle w:val="cpv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55D" w:rsidRDefault="00F670E1" w:rsidP="00C4355D">
      <w:pPr>
        <w:pStyle w:val="Titol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Parere variazione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– 202</w:t>
      </w:r>
      <w:r w:rsidR="0089286B">
        <w:rPr>
          <w:rFonts w:ascii="Times New Roman" w:hAnsi="Times New Roman" w:cs="Times New Roman"/>
          <w:sz w:val="24"/>
        </w:rPr>
        <w:t>2</w:t>
      </w:r>
    </w:p>
    <w:p w:rsidR="00B70495" w:rsidRDefault="00C4355D" w:rsidP="004C0388">
      <w:pPr>
        <w:jc w:val="both"/>
      </w:pPr>
      <w:r>
        <w:t xml:space="preserve">L’anno </w:t>
      </w:r>
      <w:r w:rsidR="0007254B">
        <w:t>duemila</w:t>
      </w:r>
      <w:r w:rsidR="0089286B">
        <w:t>venti</w:t>
      </w:r>
      <w:r>
        <w:t xml:space="preserve"> il giorno </w:t>
      </w:r>
      <w:r w:rsidR="00B560E6">
        <w:t>2</w:t>
      </w:r>
      <w:r w:rsidR="000C075C">
        <w:t>3</w:t>
      </w:r>
      <w:r>
        <w:t xml:space="preserve"> del mese di </w:t>
      </w:r>
      <w:r w:rsidR="000C075C">
        <w:t>novembre</w:t>
      </w:r>
      <w:r w:rsidR="00CC6B52">
        <w:t xml:space="preserve"> alle ore </w:t>
      </w:r>
      <w:r w:rsidR="00C525EB">
        <w:t>15</w:t>
      </w:r>
      <w:r>
        <w:t>,</w:t>
      </w:r>
      <w:r w:rsidR="000C075C">
        <w:t>3</w:t>
      </w:r>
      <w:r>
        <w:t>0, il Collegio dei Revisori nominato dal Consiglio Comunale con propria deliberazione numero 4 del 19 marzo 2019</w:t>
      </w:r>
      <w:r w:rsidR="0007254B">
        <w:t xml:space="preserve">, </w:t>
      </w:r>
      <w:r w:rsidR="00C45A87">
        <w:t xml:space="preserve">ha esaminato la </w:t>
      </w:r>
      <w:r w:rsidR="003C4E60">
        <w:t>“</w:t>
      </w:r>
      <w:r w:rsidR="009D5763">
        <w:t xml:space="preserve">Proposta di </w:t>
      </w:r>
      <w:r w:rsidR="003C4E60">
        <w:t xml:space="preserve">Delibera di </w:t>
      </w:r>
      <w:r w:rsidR="009D5763">
        <w:t>Consiglio</w:t>
      </w:r>
      <w:r w:rsidR="003C4E60">
        <w:t xml:space="preserve"> Comunale numero </w:t>
      </w:r>
      <w:r w:rsidR="00732BBC">
        <w:t>83</w:t>
      </w:r>
      <w:r w:rsidR="00112EEB">
        <w:t xml:space="preserve"> del </w:t>
      </w:r>
      <w:r w:rsidR="00732BBC">
        <w:t>20</w:t>
      </w:r>
      <w:r w:rsidR="003C4E60">
        <w:t xml:space="preserve"> </w:t>
      </w:r>
      <w:r w:rsidR="00732BBC">
        <w:t>novembre</w:t>
      </w:r>
      <w:r w:rsidR="003C4E60">
        <w:t xml:space="preserve"> 2020 – </w:t>
      </w:r>
      <w:r w:rsidR="00E528F2">
        <w:t xml:space="preserve">Ratifica Deliberazione di Giunta Comunale numero </w:t>
      </w:r>
      <w:r w:rsidR="00B46FC0">
        <w:t>202</w:t>
      </w:r>
      <w:r w:rsidR="00E528F2">
        <w:t xml:space="preserve"> del </w:t>
      </w:r>
      <w:r w:rsidR="00732BBC">
        <w:t>17</w:t>
      </w:r>
      <w:r w:rsidR="00E528F2">
        <w:t xml:space="preserve"> </w:t>
      </w:r>
      <w:r w:rsidR="00B46FC0">
        <w:t>novembre</w:t>
      </w:r>
      <w:r w:rsidR="00E528F2">
        <w:t xml:space="preserve"> 2020 - </w:t>
      </w:r>
      <w:r w:rsidR="003C4E60">
        <w:t xml:space="preserve">Variazione numero </w:t>
      </w:r>
      <w:r w:rsidR="00C525EB">
        <w:t>1</w:t>
      </w:r>
      <w:r w:rsidR="00B46FC0">
        <w:t>6</w:t>
      </w:r>
      <w:r w:rsidR="003C4E60">
        <w:t xml:space="preserve"> al Bilancio di Previsione 2020/2022”.</w:t>
      </w:r>
    </w:p>
    <w:p w:rsidR="0007254B" w:rsidRDefault="0007254B" w:rsidP="004C0388">
      <w:pPr>
        <w:jc w:val="both"/>
      </w:pPr>
      <w:r>
        <w:t>Il Collegio è presente nella sua totalità dei componenti.</w:t>
      </w:r>
    </w:p>
    <w:p w:rsidR="0089286B" w:rsidRDefault="0089286B" w:rsidP="0089286B">
      <w:pPr>
        <w:jc w:val="center"/>
        <w:rPr>
          <w:b/>
        </w:rPr>
      </w:pPr>
      <w:r>
        <w:rPr>
          <w:b/>
        </w:rPr>
        <w:t>PREMESSO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 xml:space="preserve">che il documento unico di Programmazione (D.U.P.) 2020 – 2022 è stato approvato con Delibera del Consiglio Comunale numero 72 del 19 dicembre 2019, </w:t>
      </w:r>
      <w:r w:rsidR="0083426E">
        <w:t xml:space="preserve">successivamente modificato attraverso la delibera di Consiglio Comunale numero 47 del 22 settembre 2020, </w:t>
      </w:r>
      <w:r w:rsidRPr="00AF0EBE">
        <w:t>esecutiva per  Legge;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>che il Collegio dei Revisori con proprio parere numero 20 del 26 luglio 2019 ha dato parere favorevole al documento unico di Programmazione (D.U.P.) 2020 – 2022</w:t>
      </w:r>
      <w:r w:rsidR="0083426E">
        <w:t xml:space="preserve"> modificato con proprio parere numero 34 del 21 settembre 2020</w:t>
      </w:r>
      <w:r w:rsidRPr="00AF0EBE"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565C04">
        <w:t>che il bilancio di previsione finanziario 2020 – 2022 è stato approvato con Delibera del Consiglio Comunale numero 73 del 19 dicembre 2019, esecutiva per Legge</w:t>
      </w:r>
      <w:r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>
        <w:t>che il Collegio dei Revisori con proprio verbale numero 34 del 10 dicembre 2019 ha dato parere favorevole al bilancio finanziario di previsione 2020 – 2022;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013371">
        <w:t xml:space="preserve">che con delibera di Giunta Comunale numero </w:t>
      </w:r>
      <w:r w:rsidR="00BF2E82">
        <w:t>2</w:t>
      </w:r>
      <w:r w:rsidRPr="00013371">
        <w:t xml:space="preserve"> del </w:t>
      </w:r>
      <w:r w:rsidR="00BF2E82">
        <w:t>9</w:t>
      </w:r>
      <w:r w:rsidRPr="00013371">
        <w:t xml:space="preserve"> </w:t>
      </w:r>
      <w:r w:rsidR="00BF2E82">
        <w:t>gennaio</w:t>
      </w:r>
      <w:r w:rsidRPr="00013371">
        <w:t xml:space="preserve"> 2020 è stato deliberato il Piano esecutivo di Gestione – finanziario per l’anno 20</w:t>
      </w:r>
      <w:r>
        <w:t>20</w:t>
      </w:r>
      <w:r w:rsidRPr="00013371">
        <w:t>/202</w:t>
      </w:r>
      <w:r>
        <w:t>2;</w:t>
      </w:r>
    </w:p>
    <w:p w:rsidR="00B70495" w:rsidRPr="005E53CA" w:rsidRDefault="005E53CA" w:rsidP="005E53CA">
      <w:pPr>
        <w:jc w:val="center"/>
        <w:rPr>
          <w:b/>
        </w:rPr>
      </w:pPr>
      <w:r w:rsidRPr="005E53CA">
        <w:rPr>
          <w:b/>
        </w:rPr>
        <w:t>PRESO ATTO</w:t>
      </w:r>
    </w:p>
    <w:p w:rsidR="003C1DD2" w:rsidRPr="00C45A87" w:rsidRDefault="003C1DD2" w:rsidP="003C1DD2">
      <w:pPr>
        <w:pStyle w:val="Paragrafoelenco"/>
        <w:numPr>
          <w:ilvl w:val="0"/>
          <w:numId w:val="21"/>
        </w:numPr>
        <w:autoSpaceDE w:val="0"/>
        <w:jc w:val="both"/>
      </w:pPr>
      <w:r>
        <w:t xml:space="preserve">che </w:t>
      </w:r>
      <w:r w:rsidR="00B60F5C">
        <w:t>è stata</w:t>
      </w:r>
      <w:r>
        <w:t xml:space="preserve"> </w:t>
      </w:r>
      <w:r w:rsidR="00C45A87">
        <w:t>predisposta,</w:t>
      </w:r>
      <w:r w:rsidR="00C45A87" w:rsidRPr="00C45A87">
        <w:t xml:space="preserve"> </w:t>
      </w:r>
      <w:r w:rsidR="00C45A87">
        <w:t xml:space="preserve">a nome dell’assessore al Bilancio, Affari Generali e Risorse Umane signor Sandro Porqueddu la </w:t>
      </w:r>
      <w:r>
        <w:t xml:space="preserve">proposta di </w:t>
      </w:r>
      <w:r w:rsidR="00C45A87">
        <w:t xml:space="preserve">delibera di Consiglio Comunale </w:t>
      </w:r>
      <w:r>
        <w:t xml:space="preserve">numero </w:t>
      </w:r>
      <w:r w:rsidR="00FC14A9">
        <w:t>83</w:t>
      </w:r>
      <w:r>
        <w:t xml:space="preserve"> </w:t>
      </w:r>
      <w:r w:rsidR="00C45A87">
        <w:t xml:space="preserve">del </w:t>
      </w:r>
      <w:r w:rsidR="00FC14A9">
        <w:t>20</w:t>
      </w:r>
      <w:r w:rsidR="00C45A87">
        <w:t>.</w:t>
      </w:r>
      <w:r w:rsidR="00FC14A9">
        <w:t>11</w:t>
      </w:r>
      <w:r w:rsidR="00C45A87">
        <w:t xml:space="preserve">.2020 </w:t>
      </w:r>
      <w:r>
        <w:t xml:space="preserve">al bilancio di Previsione 2020/2022 </w:t>
      </w:r>
      <w:r w:rsidR="00C525EB">
        <w:t>–</w:t>
      </w:r>
      <w:r w:rsidR="00E528F2" w:rsidRPr="00E528F2">
        <w:t xml:space="preserve"> </w:t>
      </w:r>
      <w:r w:rsidR="00E528F2">
        <w:t xml:space="preserve">Ratifica Deliberazione di Giunta Comunale numero </w:t>
      </w:r>
      <w:r w:rsidR="00FC14A9">
        <w:t>243</w:t>
      </w:r>
      <w:r w:rsidR="00E528F2">
        <w:t xml:space="preserve"> del</w:t>
      </w:r>
      <w:r w:rsidR="00FC14A9">
        <w:t>’</w:t>
      </w:r>
      <w:r w:rsidR="00E528F2">
        <w:t>1</w:t>
      </w:r>
      <w:r w:rsidR="00FC14A9">
        <w:t>1</w:t>
      </w:r>
      <w:r w:rsidR="00E528F2">
        <w:t xml:space="preserve"> </w:t>
      </w:r>
      <w:r w:rsidR="00FC14A9">
        <w:t>novembre</w:t>
      </w:r>
      <w:r w:rsidR="00E528F2">
        <w:t xml:space="preserve"> 2020 -</w:t>
      </w:r>
      <w:r>
        <w:t xml:space="preserve"> </w:t>
      </w:r>
      <w:r w:rsidR="00C525EB">
        <w:t>Variazione numero 1</w:t>
      </w:r>
      <w:r w:rsidR="00FC14A9">
        <w:t>6</w:t>
      </w:r>
      <w:r w:rsidR="00C525EB">
        <w:t xml:space="preserve"> al bilancio di previsione 2020/2022</w:t>
      </w:r>
      <w:r>
        <w:t xml:space="preserve"> </w:t>
      </w:r>
    </w:p>
    <w:p w:rsidR="003C1DD2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45A8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l’art. 175 del D.Lgs. 267/2000 prevede: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al comma primo si prevede che il bilancio di previsione può subire variazioni nel corso dell’esercizio di competenza e di cassa sia nella parte entrate che nella parte spesa;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al terzo comma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prevede che le variazioni al bilancio possono essere deliberate non oltre il 30 novembre di ciascuno anno, fatte salve alcune tipologie di variazioni, che possono essere deliberate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>sino al 31 dicembre di ciascuno anno, tra le quali l’istituzione di tipologie di entrata a destinazione vincolata ed il correlato programma spesa;</w:t>
      </w:r>
    </w:p>
    <w:p w:rsidR="003C1DD2" w:rsidRPr="00807B39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al quarto comma che: “ai sensi dell'articolo 42 le variazioni di bilancio possono essere adottate dall'organo esecutivo in via d'urgenza opportunamente motivata, salvo ratifica, a pena di decadenza, da parte dell'organo consiliare entro i sessanta giorni seguenti e comunque entro il 31 dicembre dell'anno in corso se a tale data non sia scaduto il predetto termine”;</w:t>
      </w:r>
    </w:p>
    <w:p w:rsidR="00C45A87" w:rsidRDefault="003C1DD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1A044E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dell’urgenza di tali variazioni al fine di adeguare le risorse per le seguenti motivazioni:</w:t>
      </w:r>
    </w:p>
    <w:p w:rsidR="00E528F2" w:rsidRDefault="00E528F2" w:rsidP="00E528F2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E528F2" w:rsidRPr="00FC14A9" w:rsidRDefault="00FC14A9" w:rsidP="00213FA1">
      <w:pPr>
        <w:pStyle w:val="Paragrafoelenco"/>
        <w:numPr>
          <w:ilvl w:val="0"/>
          <w:numId w:val="21"/>
        </w:numPr>
        <w:autoSpaceDE w:val="0"/>
        <w:spacing w:after="160" w:line="25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p</w:t>
      </w:r>
      <w:r w:rsidRPr="00FC14A9">
        <w:rPr>
          <w:rFonts w:cstheme="minorHAnsi"/>
          <w:color w:val="000000"/>
        </w:rPr>
        <w:t>ermettere il rimborso a diverse famiglie che hanno versato in misura eccedente</w:t>
      </w:r>
      <w:r w:rsidR="00213FA1" w:rsidRPr="00FC14A9">
        <w:rPr>
          <w:rFonts w:cstheme="minorHAnsi"/>
        </w:rPr>
        <w:t>;</w:t>
      </w:r>
    </w:p>
    <w:p w:rsidR="00FC14A9" w:rsidRDefault="00FC14A9" w:rsidP="00FC14A9">
      <w:pPr>
        <w:pStyle w:val="Paragrafoelenco"/>
        <w:numPr>
          <w:ilvl w:val="0"/>
          <w:numId w:val="21"/>
        </w:numPr>
        <w:autoSpaceDE w:val="0"/>
        <w:spacing w:after="160" w:line="25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s</w:t>
      </w:r>
      <w:r w:rsidRPr="00FC14A9">
        <w:rPr>
          <w:rFonts w:cstheme="minorHAnsi"/>
          <w:color w:val="000000"/>
        </w:rPr>
        <w:t>postamento somme per il pagamento dei consumi di energia elettrica</w:t>
      </w:r>
      <w:r w:rsidR="00213FA1" w:rsidRPr="00FC14A9">
        <w:rPr>
          <w:rFonts w:cstheme="minorHAnsi"/>
        </w:rPr>
        <w:t>;</w:t>
      </w:r>
    </w:p>
    <w:p w:rsidR="00E528F2" w:rsidRPr="00FC14A9" w:rsidRDefault="00FC14A9" w:rsidP="00FC14A9">
      <w:pPr>
        <w:pStyle w:val="Paragrafoelenco"/>
        <w:numPr>
          <w:ilvl w:val="0"/>
          <w:numId w:val="21"/>
        </w:numPr>
        <w:autoSpaceDE w:val="0"/>
        <w:spacing w:after="160" w:line="25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m</w:t>
      </w:r>
      <w:r w:rsidRPr="00FC14A9">
        <w:rPr>
          <w:rFonts w:cstheme="minorHAnsi"/>
          <w:color w:val="000000"/>
        </w:rPr>
        <w:t>anutenzione dei sistemi informatici per la conservazione dei documenti digitali</w:t>
      </w:r>
      <w:r w:rsidRPr="00FC14A9">
        <w:rPr>
          <w:rFonts w:cstheme="minorHAnsi"/>
        </w:rPr>
        <w:t>.</w:t>
      </w:r>
    </w:p>
    <w:p w:rsidR="00C45A87" w:rsidRDefault="00C45A87" w:rsidP="00C45A87">
      <w:pPr>
        <w:pStyle w:val="Standard"/>
        <w:autoSpaceDE w:val="0"/>
        <w:ind w:left="72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AA035D" w:rsidRPr="00AA035D" w:rsidRDefault="00AA035D" w:rsidP="00AA035D">
      <w:pPr>
        <w:pStyle w:val="Paragrafoelenco"/>
        <w:jc w:val="center"/>
        <w:rPr>
          <w:b/>
        </w:rPr>
      </w:pPr>
      <w:r w:rsidRPr="00AA035D">
        <w:rPr>
          <w:b/>
        </w:rPr>
        <w:t>CONSIDERATO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Il regolamento di Contabilità dell’Ente;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 pareri di regolarità tecnica e contabile rilasciati ai sensi dell’art. 49 comma 1 del D.L. 267/2000 e successive modificazioni ed integrazioni da parte del Dirigente del Settore Finanziario e Bilancio – Performance – Entrate – Area 2;</w:t>
      </w:r>
    </w:p>
    <w:p w:rsidR="00020EAA" w:rsidRDefault="00020EAA" w:rsidP="00020EAA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la documentazione inerente la proposta di deliberazione di cui sopra 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i relativi allegati necessari alla pred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isposizione del presente parere;</w:t>
      </w:r>
    </w:p>
    <w:p w:rsidR="00020EAA" w:rsidRDefault="00020EAA" w:rsidP="00020EAA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lo schema (Allegato A) delle variazioni da apportare al bilancio in corso, che forma parte integrante e sostanziale del presente provvedimento, predisposto dall’Area 2 “Bilancio e Performance” sulla base delle motivate richieste pervenute dalle singole Aree, ed esaminate tutte le voci di entrata e di spesa;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che sono stati rispettati il pareggio finanziario e gli equilibri di bilancio</w:t>
      </w:r>
      <w:r w:rsidR="002B6CF5">
        <w:t xml:space="preserve"> di cassa e di competenza</w:t>
      </w:r>
      <w:r>
        <w:t xml:space="preserve"> stabiliti dall’art. 193 del D.Lgs. 267/2000, come da Allegato B;</w:t>
      </w:r>
    </w:p>
    <w:p w:rsidR="003D19A8" w:rsidRPr="003D19A8" w:rsidRDefault="003D19A8" w:rsidP="003D19A8">
      <w:pPr>
        <w:ind w:left="360"/>
        <w:jc w:val="center"/>
        <w:rPr>
          <w:b/>
        </w:rPr>
      </w:pPr>
      <w:r w:rsidRPr="003D19A8">
        <w:rPr>
          <w:b/>
        </w:rPr>
        <w:t>VISTE</w:t>
      </w:r>
    </w:p>
    <w:p w:rsidR="004364BC" w:rsidRDefault="003D19A8" w:rsidP="003D19A8">
      <w:r>
        <w:t xml:space="preserve">Le richieste presentate dai Direttori d’Area </w:t>
      </w:r>
      <w:r w:rsidR="0051520B">
        <w:t xml:space="preserve">che evidenziano previsioni di </w:t>
      </w:r>
      <w:r w:rsidR="00213FA1">
        <w:t>Entrata</w:t>
      </w:r>
      <w:r w:rsidR="0051520B">
        <w:t xml:space="preserve"> </w:t>
      </w:r>
      <w:r>
        <w:t xml:space="preserve">per </w:t>
      </w:r>
      <w:r w:rsidR="0051520B">
        <w:t>le</w:t>
      </w:r>
      <w:r>
        <w:t xml:space="preserve"> quali </w:t>
      </w:r>
      <w:r w:rsidR="004A1EEF">
        <w:t xml:space="preserve">non </w:t>
      </w:r>
      <w:r>
        <w:t xml:space="preserve">esiste un vincolo con </w:t>
      </w:r>
      <w:r w:rsidR="00213FA1">
        <w:t>la spesa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19"/>
        <w:gridCol w:w="1316"/>
        <w:gridCol w:w="1383"/>
        <w:gridCol w:w="1169"/>
        <w:gridCol w:w="1276"/>
        <w:gridCol w:w="1023"/>
        <w:gridCol w:w="926"/>
      </w:tblGrid>
      <w:tr w:rsidR="00A039E4" w:rsidRPr="005B7EAA" w:rsidTr="00BC7468">
        <w:tc>
          <w:tcPr>
            <w:tcW w:w="1242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TITOLO</w:t>
            </w:r>
          </w:p>
        </w:tc>
        <w:tc>
          <w:tcPr>
            <w:tcW w:w="131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TIPOLOGIA</w:t>
            </w:r>
          </w:p>
        </w:tc>
        <w:tc>
          <w:tcPr>
            <w:tcW w:w="1383" w:type="dxa"/>
          </w:tcPr>
          <w:p w:rsidR="00A039E4" w:rsidRPr="00E31A22" w:rsidRDefault="00A039E4" w:rsidP="00BC7468">
            <w:pPr>
              <w:jc w:val="center"/>
              <w:rPr>
                <w:b/>
                <w:sz w:val="20"/>
                <w:szCs w:val="20"/>
              </w:rPr>
            </w:pPr>
            <w:r w:rsidRPr="00E31A22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6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A039E4" w:rsidTr="00BC7468">
        <w:tc>
          <w:tcPr>
            <w:tcW w:w="1242" w:type="dxa"/>
          </w:tcPr>
          <w:p w:rsidR="00A039E4" w:rsidRDefault="00262D06" w:rsidP="00BC7468">
            <w:r>
              <w:t>1.101.6</w:t>
            </w:r>
          </w:p>
        </w:tc>
        <w:tc>
          <w:tcPr>
            <w:tcW w:w="1519" w:type="dxa"/>
          </w:tcPr>
          <w:p w:rsidR="00A039E4" w:rsidRDefault="00262D06" w:rsidP="00BC7468">
            <w:r>
              <w:t>Entrate correnti di natura tributaria, contributiva e perequativa</w:t>
            </w:r>
          </w:p>
        </w:tc>
        <w:tc>
          <w:tcPr>
            <w:tcW w:w="1316" w:type="dxa"/>
          </w:tcPr>
          <w:p w:rsidR="00A039E4" w:rsidRDefault="00262D06" w:rsidP="00BC7468">
            <w:r>
              <w:t>Imposte, Tasse e proventi assimilati</w:t>
            </w:r>
          </w:p>
        </w:tc>
        <w:tc>
          <w:tcPr>
            <w:tcW w:w="1383" w:type="dxa"/>
          </w:tcPr>
          <w:p w:rsidR="00A039E4" w:rsidRDefault="00262D06" w:rsidP="00A039E4">
            <w:r>
              <w:t>Imposta municipale propria</w:t>
            </w:r>
          </w:p>
        </w:tc>
        <w:tc>
          <w:tcPr>
            <w:tcW w:w="1169" w:type="dxa"/>
          </w:tcPr>
          <w:p w:rsidR="00A039E4" w:rsidRDefault="00A039E4" w:rsidP="00BC7468">
            <w:pPr>
              <w:jc w:val="right"/>
            </w:pPr>
          </w:p>
        </w:tc>
        <w:tc>
          <w:tcPr>
            <w:tcW w:w="1276" w:type="dxa"/>
          </w:tcPr>
          <w:p w:rsidR="00A039E4" w:rsidRDefault="00A039E4" w:rsidP="00BC7468">
            <w:pPr>
              <w:jc w:val="right"/>
            </w:pPr>
          </w:p>
          <w:p w:rsidR="00A039E4" w:rsidRDefault="00A039E4" w:rsidP="00262D06">
            <w:pPr>
              <w:jc w:val="right"/>
            </w:pPr>
            <w:r>
              <w:t>1</w:t>
            </w:r>
            <w:r w:rsidR="00262D06">
              <w:t>5</w:t>
            </w:r>
            <w:r>
              <w:t>.000,00</w:t>
            </w:r>
          </w:p>
        </w:tc>
        <w:tc>
          <w:tcPr>
            <w:tcW w:w="1023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</w:tr>
    </w:tbl>
    <w:p w:rsidR="00213FA1" w:rsidRDefault="00213FA1" w:rsidP="003D19A8"/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Previsioni di spesa per le quali non esiste un vincolo con l’entrata:</w:t>
      </w: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Grigliatabella"/>
        <w:tblW w:w="1140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134"/>
        <w:gridCol w:w="1276"/>
        <w:gridCol w:w="1276"/>
        <w:gridCol w:w="1276"/>
        <w:gridCol w:w="803"/>
        <w:gridCol w:w="993"/>
      </w:tblGrid>
      <w:tr w:rsidR="00672AD9" w:rsidRPr="005970C7" w:rsidTr="00041ECF">
        <w:trPr>
          <w:gridAfter w:val="1"/>
          <w:wAfter w:w="993" w:type="dxa"/>
          <w:trHeight w:val="352"/>
        </w:trPr>
        <w:tc>
          <w:tcPr>
            <w:tcW w:w="1384" w:type="dxa"/>
          </w:tcPr>
          <w:p w:rsidR="00672AD9" w:rsidRPr="005B7EAA" w:rsidRDefault="00672AD9" w:rsidP="00360A8B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59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MISSIONE</w:t>
            </w:r>
          </w:p>
        </w:tc>
        <w:tc>
          <w:tcPr>
            <w:tcW w:w="1701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 xml:space="preserve">PROGRAMMA </w:t>
            </w:r>
          </w:p>
        </w:tc>
        <w:tc>
          <w:tcPr>
            <w:tcW w:w="1134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2020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2021</w:t>
            </w:r>
          </w:p>
        </w:tc>
        <w:tc>
          <w:tcPr>
            <w:tcW w:w="803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2022</w:t>
            </w:r>
          </w:p>
        </w:tc>
      </w:tr>
      <w:tr w:rsidR="00F129A3" w:rsidTr="00041ECF">
        <w:tc>
          <w:tcPr>
            <w:tcW w:w="1384" w:type="dxa"/>
          </w:tcPr>
          <w:p w:rsidR="00F129A3" w:rsidRDefault="00F129A3" w:rsidP="0009443A">
            <w:r>
              <w:t>1.414.104</w:t>
            </w:r>
          </w:p>
        </w:tc>
        <w:tc>
          <w:tcPr>
            <w:tcW w:w="1559" w:type="dxa"/>
          </w:tcPr>
          <w:p w:rsidR="00F129A3" w:rsidRDefault="00F129A3" w:rsidP="0054144C">
            <w:r>
              <w:t>Servizi istituzionali, generali e di gestione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129A3">
              <w:rPr>
                <w:rFonts w:eastAsia="Calibri" w:cstheme="minorHAnsi"/>
                <w:color w:val="000000"/>
              </w:rPr>
              <w:t>gestione delle</w:t>
            </w:r>
            <w:r w:rsidRPr="00F129A3">
              <w:rPr>
                <w:rFonts w:eastAsia="Calibri" w:cstheme="minorHAnsi"/>
                <w:color w:val="000000"/>
              </w:rPr>
              <w:br/>
              <w:t>entrate</w:t>
            </w:r>
            <w:r w:rsidRPr="00F129A3">
              <w:rPr>
                <w:rFonts w:eastAsia="Calibri" w:cstheme="minorHAnsi"/>
                <w:color w:val="000000"/>
              </w:rPr>
              <w:br/>
              <w:t>tributarie e</w:t>
            </w:r>
            <w:r w:rsidRPr="00F129A3">
              <w:rPr>
                <w:rFonts w:eastAsia="Calibri" w:cstheme="minorHAnsi"/>
                <w:color w:val="000000"/>
              </w:rPr>
              <w:br/>
              <w:t>servizi fiscali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Trasferimenti correnti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15.000,00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F129A3" w:rsidRDefault="00F129A3" w:rsidP="00360A8B">
            <w:pPr>
              <w:jc w:val="right"/>
            </w:pPr>
          </w:p>
        </w:tc>
      </w:tr>
      <w:tr w:rsidR="00F129A3" w:rsidRPr="005B7EAA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9.2.1.10</w:t>
            </w:r>
          </w:p>
        </w:tc>
        <w:tc>
          <w:tcPr>
            <w:tcW w:w="1559" w:type="dxa"/>
          </w:tcPr>
          <w:p w:rsidR="00F129A3" w:rsidRDefault="00F129A3" w:rsidP="00BC7468">
            <w:r>
              <w:t>Sviluppo sostenibile e tutela del territorio e dell’ambiente Tutela, valorizzazione e recupero ambientale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Tutela,</w:t>
            </w:r>
            <w:r w:rsidRPr="00F129A3">
              <w:rPr>
                <w:rFonts w:eastAsia="Calibri" w:cstheme="minorHAnsi"/>
                <w:color w:val="000000"/>
              </w:rPr>
              <w:br/>
              <w:t>valorizzazione</w:t>
            </w:r>
            <w:r w:rsidRPr="00F129A3">
              <w:rPr>
                <w:rFonts w:eastAsia="Calibri" w:cstheme="minorHAnsi"/>
                <w:color w:val="000000"/>
              </w:rPr>
              <w:br/>
              <w:t>e recupero</w:t>
            </w:r>
            <w:r w:rsidRPr="00F129A3">
              <w:rPr>
                <w:rFonts w:eastAsia="Calibri" w:cstheme="minorHAnsi"/>
                <w:color w:val="000000"/>
              </w:rPr>
              <w:br/>
              <w:t>ambientale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3.000,00</w:t>
            </w:r>
          </w:p>
        </w:tc>
        <w:tc>
          <w:tcPr>
            <w:tcW w:w="1276" w:type="dxa"/>
          </w:tcPr>
          <w:p w:rsidR="00F129A3" w:rsidRDefault="00F129A3" w:rsidP="00041ECF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1.11.1.103</w:t>
            </w:r>
          </w:p>
        </w:tc>
        <w:tc>
          <w:tcPr>
            <w:tcW w:w="1559" w:type="dxa"/>
          </w:tcPr>
          <w:p w:rsidR="00F129A3" w:rsidRDefault="00F129A3" w:rsidP="0054144C">
            <w:r>
              <w:t>Servizi istituzionali, generali e di gestione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Altri servizi</w:t>
            </w:r>
            <w:r w:rsidRPr="00F129A3">
              <w:rPr>
                <w:rFonts w:eastAsia="Calibri" w:cstheme="minorHAnsi"/>
                <w:color w:val="000000"/>
              </w:rPr>
              <w:br/>
              <w:t>generali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54144C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13.000,00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5.1.1.103</w:t>
            </w:r>
          </w:p>
        </w:tc>
        <w:tc>
          <w:tcPr>
            <w:tcW w:w="1559" w:type="dxa"/>
          </w:tcPr>
          <w:p w:rsidR="00F129A3" w:rsidRPr="00A7609E" w:rsidRDefault="00F129A3" w:rsidP="0054144C">
            <w:pPr>
              <w:rPr>
                <w:rFonts w:eastAsia="Calibri" w:cstheme="minorHAnsi"/>
                <w:color w:val="000000"/>
              </w:rPr>
            </w:pPr>
            <w:r w:rsidRPr="00A7609E">
              <w:rPr>
                <w:rFonts w:eastAsia="Calibri" w:cstheme="minorHAnsi"/>
                <w:color w:val="000000"/>
              </w:rPr>
              <w:t>Tutela e</w:t>
            </w:r>
            <w:r w:rsidRPr="00A7609E">
              <w:rPr>
                <w:rFonts w:eastAsia="Calibri" w:cstheme="minorHAnsi"/>
                <w:color w:val="000000"/>
              </w:rPr>
              <w:br/>
              <w:t>valorizzazione dei</w:t>
            </w:r>
            <w:r w:rsidRPr="00A7609E">
              <w:rPr>
                <w:rFonts w:eastAsia="Calibri" w:cstheme="minorHAnsi"/>
                <w:color w:val="000000"/>
              </w:rPr>
              <w:br/>
              <w:t>beni e delle attività</w:t>
            </w:r>
            <w:r w:rsidRPr="00A7609E">
              <w:rPr>
                <w:rFonts w:eastAsia="Calibri" w:cstheme="minorHAnsi"/>
                <w:color w:val="000000"/>
              </w:rPr>
              <w:br/>
              <w:t>culturali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Valorizzazione dei beni di interesse storico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-3.000,00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5.2.1.103</w:t>
            </w:r>
          </w:p>
        </w:tc>
        <w:tc>
          <w:tcPr>
            <w:tcW w:w="1559" w:type="dxa"/>
          </w:tcPr>
          <w:p w:rsidR="00F129A3" w:rsidRPr="00A7609E" w:rsidRDefault="00F129A3" w:rsidP="0054144C">
            <w:pPr>
              <w:rPr>
                <w:rFonts w:eastAsia="Calibri" w:cstheme="minorHAnsi"/>
                <w:color w:val="000000"/>
              </w:rPr>
            </w:pPr>
            <w:r w:rsidRPr="00A7609E">
              <w:rPr>
                <w:rFonts w:eastAsia="Calibri" w:cstheme="minorHAnsi"/>
                <w:color w:val="000000"/>
              </w:rPr>
              <w:t>Tutela e</w:t>
            </w:r>
            <w:r w:rsidRPr="00A7609E">
              <w:rPr>
                <w:rFonts w:eastAsia="Calibri" w:cstheme="minorHAnsi"/>
                <w:color w:val="000000"/>
              </w:rPr>
              <w:br/>
              <w:t>valorizzazione dei</w:t>
            </w:r>
            <w:r w:rsidRPr="00A7609E">
              <w:rPr>
                <w:rFonts w:eastAsia="Calibri" w:cstheme="minorHAnsi"/>
                <w:color w:val="000000"/>
              </w:rPr>
              <w:br/>
              <w:t>beni e delle attività</w:t>
            </w:r>
            <w:r w:rsidRPr="00A7609E">
              <w:rPr>
                <w:rFonts w:eastAsia="Calibri" w:cstheme="minorHAnsi"/>
                <w:color w:val="000000"/>
              </w:rPr>
              <w:br/>
              <w:t>culturali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Attività</w:t>
            </w:r>
            <w:r w:rsidRPr="00F129A3">
              <w:rPr>
                <w:rFonts w:eastAsia="Calibri" w:cstheme="minorHAnsi"/>
                <w:color w:val="000000"/>
              </w:rPr>
              <w:br/>
              <w:t>culturali e</w:t>
            </w:r>
            <w:r w:rsidRPr="00F129A3">
              <w:rPr>
                <w:rFonts w:eastAsia="Calibri" w:cstheme="minorHAnsi"/>
                <w:color w:val="000000"/>
              </w:rPr>
              <w:br/>
              <w:t>interventi</w:t>
            </w:r>
            <w:r w:rsidRPr="00F129A3">
              <w:rPr>
                <w:rFonts w:eastAsia="Calibri" w:cstheme="minorHAnsi"/>
                <w:color w:val="000000"/>
              </w:rPr>
              <w:br/>
              <w:t>diversi nel</w:t>
            </w:r>
            <w:r w:rsidRPr="00F129A3">
              <w:rPr>
                <w:rFonts w:eastAsia="Calibri" w:cstheme="minorHAnsi"/>
                <w:color w:val="000000"/>
              </w:rPr>
              <w:br/>
              <w:t>settore</w:t>
            </w:r>
            <w:r w:rsidRPr="00F129A3">
              <w:rPr>
                <w:rFonts w:eastAsia="Calibri" w:cstheme="minorHAnsi"/>
                <w:color w:val="000000"/>
              </w:rPr>
              <w:br/>
              <w:t>culturale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-7.000,00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12.3.1.103</w:t>
            </w:r>
          </w:p>
        </w:tc>
        <w:tc>
          <w:tcPr>
            <w:tcW w:w="1559" w:type="dxa"/>
          </w:tcPr>
          <w:p w:rsidR="00F129A3" w:rsidRPr="00A7609E" w:rsidRDefault="00F129A3" w:rsidP="0054144C">
            <w:pPr>
              <w:rPr>
                <w:rFonts w:eastAsia="Calibri" w:cstheme="minorHAnsi"/>
                <w:color w:val="000000"/>
              </w:rPr>
            </w:pPr>
            <w:r w:rsidRPr="00A7609E">
              <w:rPr>
                <w:rFonts w:eastAsia="Calibri" w:cstheme="minorHAnsi"/>
                <w:color w:val="000000"/>
              </w:rPr>
              <w:t>Diritti sociali,</w:t>
            </w:r>
            <w:r w:rsidRPr="00A7609E">
              <w:rPr>
                <w:rFonts w:eastAsia="Calibri" w:cstheme="minorHAnsi"/>
                <w:color w:val="000000"/>
              </w:rPr>
              <w:br/>
              <w:t>politiche sociali e</w:t>
            </w:r>
            <w:r w:rsidRPr="00A7609E">
              <w:rPr>
                <w:rFonts w:eastAsia="Calibri" w:cstheme="minorHAnsi"/>
                <w:color w:val="000000"/>
              </w:rPr>
              <w:br/>
              <w:t>famiglia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Interventi per</w:t>
            </w:r>
            <w:r w:rsidRPr="00F129A3">
              <w:rPr>
                <w:rFonts w:eastAsia="Calibri" w:cstheme="minorHAnsi"/>
                <w:color w:val="000000"/>
              </w:rPr>
              <w:br/>
              <w:t>gli anziani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-6.000,00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1.11.1.103</w:t>
            </w:r>
          </w:p>
        </w:tc>
        <w:tc>
          <w:tcPr>
            <w:tcW w:w="1559" w:type="dxa"/>
          </w:tcPr>
          <w:p w:rsidR="00F129A3" w:rsidRDefault="00F129A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Altri servizi</w:t>
            </w:r>
            <w:r w:rsidRPr="00F129A3">
              <w:rPr>
                <w:rFonts w:eastAsia="Calibri" w:cstheme="minorHAnsi"/>
                <w:color w:val="000000"/>
              </w:rPr>
              <w:br/>
              <w:t>generali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688,00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1.1.1.103</w:t>
            </w:r>
          </w:p>
        </w:tc>
        <w:tc>
          <w:tcPr>
            <w:tcW w:w="1559" w:type="dxa"/>
          </w:tcPr>
          <w:p w:rsidR="00F129A3" w:rsidRDefault="00F129A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Organi istituzionali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Acquisto di beni e servizi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-688,00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1.2.1.109</w:t>
            </w:r>
          </w:p>
        </w:tc>
        <w:tc>
          <w:tcPr>
            <w:tcW w:w="1559" w:type="dxa"/>
          </w:tcPr>
          <w:p w:rsidR="00F129A3" w:rsidRDefault="00F129A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Segreteria</w:t>
            </w:r>
            <w:r w:rsidRPr="00F129A3">
              <w:rPr>
                <w:rFonts w:eastAsia="Calibri" w:cstheme="minorHAnsi"/>
                <w:color w:val="000000"/>
              </w:rPr>
              <w:br/>
              <w:t>generale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Rimborsi e poste correttive dell’entrata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60,00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129A3" w:rsidTr="00041ECF">
        <w:trPr>
          <w:gridAfter w:val="1"/>
          <w:wAfter w:w="993" w:type="dxa"/>
        </w:trPr>
        <w:tc>
          <w:tcPr>
            <w:tcW w:w="1384" w:type="dxa"/>
          </w:tcPr>
          <w:p w:rsidR="00F129A3" w:rsidRDefault="00F129A3" w:rsidP="0009443A">
            <w:r>
              <w:t>20.1.1.110</w:t>
            </w:r>
          </w:p>
        </w:tc>
        <w:tc>
          <w:tcPr>
            <w:tcW w:w="1559" w:type="dxa"/>
          </w:tcPr>
          <w:p w:rsidR="00F129A3" w:rsidRPr="00A7609E" w:rsidRDefault="00F129A3" w:rsidP="0054144C">
            <w:pPr>
              <w:rPr>
                <w:rFonts w:eastAsia="Calibri" w:cstheme="minorHAnsi"/>
                <w:color w:val="000000"/>
              </w:rPr>
            </w:pPr>
            <w:r w:rsidRPr="00A7609E">
              <w:rPr>
                <w:rFonts w:eastAsia="Calibri" w:cstheme="minorHAnsi"/>
                <w:color w:val="000000"/>
              </w:rPr>
              <w:t>Fondi e</w:t>
            </w:r>
            <w:r w:rsidRPr="00A7609E">
              <w:rPr>
                <w:rFonts w:eastAsia="Calibri" w:cstheme="minorHAnsi"/>
                <w:color w:val="000000"/>
              </w:rPr>
              <w:br/>
              <w:t>accantonamenti</w:t>
            </w:r>
          </w:p>
        </w:tc>
        <w:tc>
          <w:tcPr>
            <w:tcW w:w="1701" w:type="dxa"/>
          </w:tcPr>
          <w:p w:rsidR="00F129A3" w:rsidRPr="00F129A3" w:rsidRDefault="00F129A3" w:rsidP="0054144C">
            <w:pPr>
              <w:rPr>
                <w:rFonts w:eastAsia="Calibri" w:cstheme="minorHAnsi"/>
                <w:color w:val="000000"/>
              </w:rPr>
            </w:pPr>
            <w:r w:rsidRPr="00F129A3">
              <w:rPr>
                <w:rFonts w:eastAsia="Calibri" w:cstheme="minorHAnsi"/>
                <w:color w:val="000000"/>
              </w:rPr>
              <w:t>Fondo di</w:t>
            </w:r>
            <w:r w:rsidRPr="00F129A3">
              <w:rPr>
                <w:rFonts w:eastAsia="Calibri" w:cstheme="minorHAnsi"/>
                <w:color w:val="000000"/>
              </w:rPr>
              <w:br/>
              <w:t>riserva</w:t>
            </w:r>
          </w:p>
        </w:tc>
        <w:tc>
          <w:tcPr>
            <w:tcW w:w="1134" w:type="dxa"/>
          </w:tcPr>
          <w:p w:rsidR="00F129A3" w:rsidRDefault="00F129A3" w:rsidP="00BC7468">
            <w:r>
              <w:t>Spese correnti</w:t>
            </w:r>
          </w:p>
        </w:tc>
        <w:tc>
          <w:tcPr>
            <w:tcW w:w="1276" w:type="dxa"/>
          </w:tcPr>
          <w:p w:rsidR="00F129A3" w:rsidRDefault="00F129A3" w:rsidP="00BC7468">
            <w:r>
              <w:t>Altre spese correnti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-60,00</w:t>
            </w:r>
          </w:p>
        </w:tc>
        <w:tc>
          <w:tcPr>
            <w:tcW w:w="1276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F129A3" w:rsidRDefault="00F129A3" w:rsidP="00360A8B">
            <w:pPr>
              <w:jc w:val="right"/>
            </w:pPr>
            <w:r>
              <w:t>-</w:t>
            </w:r>
          </w:p>
        </w:tc>
      </w:tr>
      <w:tr w:rsidR="00F34FBB" w:rsidRPr="007C1F1B" w:rsidTr="00041ECF">
        <w:trPr>
          <w:gridAfter w:val="1"/>
          <w:wAfter w:w="993" w:type="dxa"/>
        </w:trPr>
        <w:tc>
          <w:tcPr>
            <w:tcW w:w="1384" w:type="dxa"/>
          </w:tcPr>
          <w:p w:rsidR="00F34FBB" w:rsidRPr="007C1F1B" w:rsidRDefault="00F34FBB" w:rsidP="00E528F2">
            <w:pPr>
              <w:rPr>
                <w:b/>
              </w:rPr>
            </w:pPr>
          </w:p>
        </w:tc>
        <w:tc>
          <w:tcPr>
            <w:tcW w:w="1559" w:type="dxa"/>
          </w:tcPr>
          <w:p w:rsidR="00F34FBB" w:rsidRPr="007C1F1B" w:rsidRDefault="00F34FBB" w:rsidP="00E528F2">
            <w:pPr>
              <w:rPr>
                <w:b/>
              </w:rPr>
            </w:pPr>
          </w:p>
        </w:tc>
        <w:tc>
          <w:tcPr>
            <w:tcW w:w="1701" w:type="dxa"/>
          </w:tcPr>
          <w:p w:rsidR="00F34FBB" w:rsidRPr="007C1F1B" w:rsidRDefault="00F34FBB" w:rsidP="00E528F2">
            <w:pPr>
              <w:rPr>
                <w:b/>
              </w:rPr>
            </w:pPr>
          </w:p>
        </w:tc>
        <w:tc>
          <w:tcPr>
            <w:tcW w:w="1134" w:type="dxa"/>
          </w:tcPr>
          <w:p w:rsidR="00F34FBB" w:rsidRPr="007C1F1B" w:rsidRDefault="00F34FBB" w:rsidP="00E528F2">
            <w:pPr>
              <w:rPr>
                <w:b/>
              </w:rPr>
            </w:pPr>
          </w:p>
        </w:tc>
        <w:tc>
          <w:tcPr>
            <w:tcW w:w="1276" w:type="dxa"/>
          </w:tcPr>
          <w:p w:rsidR="00F34FBB" w:rsidRPr="007C1F1B" w:rsidRDefault="00F34FBB" w:rsidP="00E528F2">
            <w:pPr>
              <w:rPr>
                <w:b/>
              </w:rPr>
            </w:pPr>
            <w:r w:rsidRPr="007C1F1B">
              <w:rPr>
                <w:b/>
              </w:rPr>
              <w:t>TOTALE</w:t>
            </w:r>
          </w:p>
        </w:tc>
        <w:tc>
          <w:tcPr>
            <w:tcW w:w="1276" w:type="dxa"/>
          </w:tcPr>
          <w:p w:rsidR="00F34FBB" w:rsidRPr="007C1F1B" w:rsidRDefault="00F34FBB" w:rsidP="0009443A">
            <w:pPr>
              <w:jc w:val="right"/>
              <w:rPr>
                <w:b/>
              </w:rPr>
            </w:pPr>
            <w:r w:rsidRPr="007C1F1B">
              <w:rPr>
                <w:b/>
              </w:rPr>
              <w:t>15.000,00</w:t>
            </w:r>
          </w:p>
        </w:tc>
        <w:tc>
          <w:tcPr>
            <w:tcW w:w="1276" w:type="dxa"/>
          </w:tcPr>
          <w:p w:rsidR="00F34FBB" w:rsidRPr="007C1F1B" w:rsidRDefault="00F34FBB" w:rsidP="00360A8B">
            <w:pPr>
              <w:jc w:val="right"/>
              <w:rPr>
                <w:b/>
              </w:rPr>
            </w:pPr>
            <w:r w:rsidRPr="007C1F1B">
              <w:rPr>
                <w:b/>
              </w:rPr>
              <w:t>0,00</w:t>
            </w:r>
          </w:p>
        </w:tc>
        <w:tc>
          <w:tcPr>
            <w:tcW w:w="803" w:type="dxa"/>
          </w:tcPr>
          <w:p w:rsidR="00F34FBB" w:rsidRPr="007C1F1B" w:rsidRDefault="00F34FBB" w:rsidP="00360A8B">
            <w:pPr>
              <w:jc w:val="right"/>
              <w:rPr>
                <w:b/>
              </w:rPr>
            </w:pPr>
            <w:r w:rsidRPr="007C1F1B">
              <w:rPr>
                <w:b/>
              </w:rPr>
              <w:t>-</w:t>
            </w:r>
          </w:p>
        </w:tc>
      </w:tr>
    </w:tbl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Per quanto sopra esposto, il Collegio dei revisori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ESPRIME</w:t>
      </w:r>
    </w:p>
    <w:p w:rsidR="008E4265" w:rsidRPr="008F5D91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parere favorevole ai sensi dell'art. 239 del D.Lgs n. 267/2000. in ordine alla congruità, coerenza e attendibilità delle variazioni, di competenza, dettagliatamente descritte nell'allegato alla proposta di deliberazione in analisi di cui fanno parte integrale e sostanziale.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Cagliari, </w:t>
      </w:r>
      <w:r w:rsidR="000C075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23</w:t>
      </w:r>
      <w:r w:rsidR="00B560E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0C075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Novembre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20</w:t>
      </w:r>
      <w:r w:rsidR="0089286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Rag. Guido Cali’ - Presidente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 Gian Luca Zicca - Componente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Dr.ssa Monia Ibba - Componente</w:t>
      </w:r>
    </w:p>
    <w:p w:rsidR="0046338D" w:rsidRDefault="0046338D" w:rsidP="0046338D"/>
    <w:p w:rsidR="00A139C3" w:rsidRDefault="00A139C3"/>
    <w:p w:rsidR="00A139C3" w:rsidRDefault="00A139C3"/>
    <w:sectPr w:rsidR="00A139C3" w:rsidSect="000272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4B90" w:rsidRDefault="00424B90" w:rsidP="00A139C3">
      <w:pPr>
        <w:spacing w:after="0" w:line="240" w:lineRule="auto"/>
      </w:pPr>
      <w:r>
        <w:separator/>
      </w:r>
    </w:p>
  </w:endnote>
  <w:endnote w:type="continuationSeparator" w:id="0">
    <w:p w:rsidR="00424B90" w:rsidRDefault="00424B90" w:rsidP="00A1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ExBl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8F2" w:rsidRDefault="00E528F2" w:rsidP="00A139C3">
    <w:pPr>
      <w:pStyle w:val="Pidipagina"/>
      <w:jc w:val="center"/>
    </w:pPr>
    <w:r>
      <w:rPr>
        <w:rFonts w:ascii="Garamond" w:hAnsi="Garamond" w:cs="Garamond"/>
        <w:i/>
        <w:iCs/>
        <w:color w:val="808080"/>
        <w:sz w:val="20"/>
      </w:rPr>
      <w:t>Comune di Selargius  - Parere variazione Bilancio finanziario di previsione 2020 - 2022</w:t>
    </w:r>
  </w:p>
  <w:p w:rsidR="00E528F2" w:rsidRDefault="00E52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4B90" w:rsidRDefault="00424B90" w:rsidP="00A139C3">
      <w:pPr>
        <w:spacing w:after="0" w:line="240" w:lineRule="auto"/>
      </w:pPr>
      <w:r>
        <w:separator/>
      </w:r>
    </w:p>
  </w:footnote>
  <w:footnote w:type="continuationSeparator" w:id="0">
    <w:p w:rsidR="00424B90" w:rsidRDefault="00424B90" w:rsidP="00A1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8F2" w:rsidRPr="007B4902" w:rsidRDefault="00424B90" w:rsidP="00A139C3">
    <w:pPr>
      <w:pStyle w:val="Heading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8460362"/>
        <w:docPartObj>
          <w:docPartGallery w:val="Page Numbers (Margins)"/>
          <w:docPartUnique/>
        </w:docPartObj>
      </w:sdtPr>
      <w:sdtEndPr/>
      <w:sdtContent>
        <w:r w:rsidR="008D5B6F">
          <w:rPr>
            <w:rFonts w:ascii="Times New Roman" w:hAnsi="Times New Roman" w:cs="Times New Roman"/>
            <w:noProof/>
            <w:sz w:val="24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8F2" w:rsidRDefault="00424B90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129A3" w:rsidRPr="00F129A3">
                                <w:rPr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528F2" w:rsidRDefault="00E528F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left:0;text-align:left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" o:allowincell="f" adj="13609,5370" fillcolor="#c0504d [3205]" stroked="f" strokecolor="#4f81bd [3204]">
                  <v:textbox inset=",0,,0">
                    <w:txbxContent>
                      <w:p w:rsidR="00E528F2" w:rsidRDefault="00424B90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129A3" w:rsidRPr="00F129A3">
                          <w:rPr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E528F2" w:rsidRDefault="00E528F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528F2">
      <w:rPr>
        <w:rFonts w:ascii="Times New Roman" w:hAnsi="Times New Roman" w:cs="Times New Roman"/>
        <w:b w:val="0"/>
        <w:noProof/>
        <w:sz w:val="24"/>
        <w:lang w:eastAsia="it-IT"/>
      </w:rPr>
      <w:drawing>
        <wp:inline distT="0" distB="0" distL="0" distR="0">
          <wp:extent cx="571500" cy="809625"/>
          <wp:effectExtent l="19050" t="0" r="0" b="0"/>
          <wp:docPr id="1" name="Immagine 1" descr="http://upload.wikimedia.org/wikipedia/it/6/68/Selargius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6/68/Selargius-Stem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8F2" w:rsidRPr="007B4902" w:rsidRDefault="00E528F2" w:rsidP="00A139C3">
    <w:pPr>
      <w:pStyle w:val="Heading"/>
      <w:rPr>
        <w:rFonts w:ascii="Times New Roman" w:hAnsi="Times New Roman" w:cs="Times New Roman"/>
        <w:sz w:val="24"/>
      </w:rPr>
    </w:pPr>
    <w:r w:rsidRPr="007B4902">
      <w:rPr>
        <w:rFonts w:ascii="Times New Roman" w:hAnsi="Times New Roman" w:cs="Times New Roman"/>
        <w:sz w:val="24"/>
      </w:rPr>
      <w:t>Comune di Selargius</w:t>
    </w:r>
  </w:p>
  <w:p w:rsidR="00E528F2" w:rsidRPr="007B4902" w:rsidRDefault="00E528F2" w:rsidP="00A139C3">
    <w:pPr>
      <w:jc w:val="center"/>
    </w:pPr>
  </w:p>
  <w:p w:rsidR="00E528F2" w:rsidRDefault="00E528F2" w:rsidP="00A139C3">
    <w:pPr>
      <w:jc w:val="center"/>
    </w:pPr>
    <w:r w:rsidRPr="007B4902">
      <w:t>Città metropolitana di Cagliari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7FF8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DA8"/>
    <w:multiLevelType w:val="hybridMultilevel"/>
    <w:tmpl w:val="DFB477A0"/>
    <w:lvl w:ilvl="0" w:tplc="FE5CA0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06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D2"/>
    <w:multiLevelType w:val="hybridMultilevel"/>
    <w:tmpl w:val="2662C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1DC"/>
    <w:multiLevelType w:val="hybridMultilevel"/>
    <w:tmpl w:val="CBC0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0E55"/>
    <w:multiLevelType w:val="hybridMultilevel"/>
    <w:tmpl w:val="F524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69C"/>
    <w:multiLevelType w:val="hybridMultilevel"/>
    <w:tmpl w:val="27A2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06A2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4BB1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DE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774E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6AA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763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4ED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1F36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051F"/>
    <w:multiLevelType w:val="multilevel"/>
    <w:tmpl w:val="321E19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36744879"/>
    <w:multiLevelType w:val="hybridMultilevel"/>
    <w:tmpl w:val="F91C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3351"/>
    <w:multiLevelType w:val="hybridMultilevel"/>
    <w:tmpl w:val="CFB4B6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B60596"/>
    <w:multiLevelType w:val="hybridMultilevel"/>
    <w:tmpl w:val="F52C4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148573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E7A4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C78B3"/>
    <w:multiLevelType w:val="hybridMultilevel"/>
    <w:tmpl w:val="CB76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8635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03879"/>
    <w:multiLevelType w:val="hybridMultilevel"/>
    <w:tmpl w:val="785C0114"/>
    <w:lvl w:ilvl="0" w:tplc="F872D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C92342"/>
    <w:multiLevelType w:val="hybridMultilevel"/>
    <w:tmpl w:val="54D4D4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47702B"/>
    <w:multiLevelType w:val="hybridMultilevel"/>
    <w:tmpl w:val="95021504"/>
    <w:lvl w:ilvl="0" w:tplc="8482EDB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4C76"/>
    <w:multiLevelType w:val="multilevel"/>
    <w:tmpl w:val="186EAE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71CA2B23"/>
    <w:multiLevelType w:val="hybridMultilevel"/>
    <w:tmpl w:val="0D7A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5CD2"/>
    <w:multiLevelType w:val="hybridMultilevel"/>
    <w:tmpl w:val="7500E448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7DA743ED"/>
    <w:multiLevelType w:val="hybridMultilevel"/>
    <w:tmpl w:val="9B8AA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9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4"/>
  </w:num>
  <w:num w:numId="11">
    <w:abstractNumId w:val="13"/>
  </w:num>
  <w:num w:numId="12">
    <w:abstractNumId w:val="21"/>
  </w:num>
  <w:num w:numId="13">
    <w:abstractNumId w:val="12"/>
  </w:num>
  <w:num w:numId="14">
    <w:abstractNumId w:val="16"/>
  </w:num>
  <w:num w:numId="15">
    <w:abstractNumId w:val="4"/>
  </w:num>
  <w:num w:numId="16">
    <w:abstractNumId w:val="24"/>
  </w:num>
  <w:num w:numId="17">
    <w:abstractNumId w:val="20"/>
  </w:num>
  <w:num w:numId="18">
    <w:abstractNumId w:val="5"/>
  </w:num>
  <w:num w:numId="19">
    <w:abstractNumId w:val="6"/>
  </w:num>
  <w:num w:numId="20">
    <w:abstractNumId w:val="26"/>
  </w:num>
  <w:num w:numId="21">
    <w:abstractNumId w:val="28"/>
  </w:num>
  <w:num w:numId="22">
    <w:abstractNumId w:val="25"/>
  </w:num>
  <w:num w:numId="23">
    <w:abstractNumId w:val="15"/>
  </w:num>
  <w:num w:numId="24">
    <w:abstractNumId w:val="22"/>
  </w:num>
  <w:num w:numId="25">
    <w:abstractNumId w:val="17"/>
  </w:num>
  <w:num w:numId="26">
    <w:abstractNumId w:val="23"/>
  </w:num>
  <w:num w:numId="27">
    <w:abstractNumId w:val="27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3"/>
    <w:rsid w:val="00012B08"/>
    <w:rsid w:val="000146F5"/>
    <w:rsid w:val="00014E51"/>
    <w:rsid w:val="00017EBA"/>
    <w:rsid w:val="00017F82"/>
    <w:rsid w:val="00020EAA"/>
    <w:rsid w:val="00021133"/>
    <w:rsid w:val="00023425"/>
    <w:rsid w:val="0002496D"/>
    <w:rsid w:val="00024FD5"/>
    <w:rsid w:val="000272D9"/>
    <w:rsid w:val="00027C16"/>
    <w:rsid w:val="00027DED"/>
    <w:rsid w:val="0003571A"/>
    <w:rsid w:val="00041ECF"/>
    <w:rsid w:val="000452D1"/>
    <w:rsid w:val="00066C14"/>
    <w:rsid w:val="00067D72"/>
    <w:rsid w:val="00067E3C"/>
    <w:rsid w:val="00071492"/>
    <w:rsid w:val="0007254B"/>
    <w:rsid w:val="000762C8"/>
    <w:rsid w:val="0008013B"/>
    <w:rsid w:val="00080E4C"/>
    <w:rsid w:val="00081477"/>
    <w:rsid w:val="00087679"/>
    <w:rsid w:val="0009443A"/>
    <w:rsid w:val="000A37C1"/>
    <w:rsid w:val="000B0630"/>
    <w:rsid w:val="000B3DEE"/>
    <w:rsid w:val="000C075C"/>
    <w:rsid w:val="000C083B"/>
    <w:rsid w:val="000C1D7B"/>
    <w:rsid w:val="000D1CAC"/>
    <w:rsid w:val="000F635A"/>
    <w:rsid w:val="000F68B5"/>
    <w:rsid w:val="00100BA6"/>
    <w:rsid w:val="00101564"/>
    <w:rsid w:val="00112569"/>
    <w:rsid w:val="00112EEB"/>
    <w:rsid w:val="0014490D"/>
    <w:rsid w:val="00146891"/>
    <w:rsid w:val="0015417E"/>
    <w:rsid w:val="00160856"/>
    <w:rsid w:val="00167538"/>
    <w:rsid w:val="00177140"/>
    <w:rsid w:val="00187DE7"/>
    <w:rsid w:val="00197ADF"/>
    <w:rsid w:val="001A52D3"/>
    <w:rsid w:val="001B2691"/>
    <w:rsid w:val="001B6EFC"/>
    <w:rsid w:val="001C1784"/>
    <w:rsid w:val="001C1C1C"/>
    <w:rsid w:val="001E041A"/>
    <w:rsid w:val="001E12AE"/>
    <w:rsid w:val="001E25ED"/>
    <w:rsid w:val="001E3D5F"/>
    <w:rsid w:val="002070BE"/>
    <w:rsid w:val="002111D0"/>
    <w:rsid w:val="00211AD5"/>
    <w:rsid w:val="00213FA1"/>
    <w:rsid w:val="0021487D"/>
    <w:rsid w:val="00231ABD"/>
    <w:rsid w:val="00233B22"/>
    <w:rsid w:val="002359C6"/>
    <w:rsid w:val="00240059"/>
    <w:rsid w:val="002455E1"/>
    <w:rsid w:val="002461A3"/>
    <w:rsid w:val="00262D06"/>
    <w:rsid w:val="00265356"/>
    <w:rsid w:val="00266FC2"/>
    <w:rsid w:val="002676F4"/>
    <w:rsid w:val="002778C7"/>
    <w:rsid w:val="00280B64"/>
    <w:rsid w:val="00280E3D"/>
    <w:rsid w:val="002A2F10"/>
    <w:rsid w:val="002A41C9"/>
    <w:rsid w:val="002A7BED"/>
    <w:rsid w:val="002B6CF5"/>
    <w:rsid w:val="002C2781"/>
    <w:rsid w:val="002C4471"/>
    <w:rsid w:val="002D115A"/>
    <w:rsid w:val="002F6D12"/>
    <w:rsid w:val="00310646"/>
    <w:rsid w:val="00313CD1"/>
    <w:rsid w:val="00324313"/>
    <w:rsid w:val="00325338"/>
    <w:rsid w:val="003352F4"/>
    <w:rsid w:val="00336B02"/>
    <w:rsid w:val="0034330C"/>
    <w:rsid w:val="00346BBE"/>
    <w:rsid w:val="00360A8B"/>
    <w:rsid w:val="00372F98"/>
    <w:rsid w:val="00373ADA"/>
    <w:rsid w:val="003767C4"/>
    <w:rsid w:val="003863D6"/>
    <w:rsid w:val="0039289B"/>
    <w:rsid w:val="00397D11"/>
    <w:rsid w:val="003A22ED"/>
    <w:rsid w:val="003A666B"/>
    <w:rsid w:val="003B66B3"/>
    <w:rsid w:val="003B7CD1"/>
    <w:rsid w:val="003C1DD2"/>
    <w:rsid w:val="003C258D"/>
    <w:rsid w:val="003C4E60"/>
    <w:rsid w:val="003C5AA0"/>
    <w:rsid w:val="003D19A8"/>
    <w:rsid w:val="003D3D81"/>
    <w:rsid w:val="003D49CC"/>
    <w:rsid w:val="003F0414"/>
    <w:rsid w:val="003F5287"/>
    <w:rsid w:val="003F728A"/>
    <w:rsid w:val="003F78C8"/>
    <w:rsid w:val="004079A6"/>
    <w:rsid w:val="00424B90"/>
    <w:rsid w:val="00426F97"/>
    <w:rsid w:val="004364BC"/>
    <w:rsid w:val="00445E52"/>
    <w:rsid w:val="0044700C"/>
    <w:rsid w:val="00454206"/>
    <w:rsid w:val="0046338D"/>
    <w:rsid w:val="004977B6"/>
    <w:rsid w:val="004A1EEF"/>
    <w:rsid w:val="004A2529"/>
    <w:rsid w:val="004A39C9"/>
    <w:rsid w:val="004B264D"/>
    <w:rsid w:val="004C0388"/>
    <w:rsid w:val="004C1DDB"/>
    <w:rsid w:val="004C7358"/>
    <w:rsid w:val="004D38D0"/>
    <w:rsid w:val="004D5DE5"/>
    <w:rsid w:val="004E10B6"/>
    <w:rsid w:val="004E1D11"/>
    <w:rsid w:val="004E2D1B"/>
    <w:rsid w:val="004F1C50"/>
    <w:rsid w:val="005050F7"/>
    <w:rsid w:val="005066A9"/>
    <w:rsid w:val="00506D6B"/>
    <w:rsid w:val="0051520B"/>
    <w:rsid w:val="00524420"/>
    <w:rsid w:val="0055291F"/>
    <w:rsid w:val="00557F91"/>
    <w:rsid w:val="0058302B"/>
    <w:rsid w:val="005970C7"/>
    <w:rsid w:val="005A1ACF"/>
    <w:rsid w:val="005B5010"/>
    <w:rsid w:val="005B7EAA"/>
    <w:rsid w:val="005C0D47"/>
    <w:rsid w:val="005D1732"/>
    <w:rsid w:val="005E17E8"/>
    <w:rsid w:val="005E53CA"/>
    <w:rsid w:val="005F7A2E"/>
    <w:rsid w:val="0060318C"/>
    <w:rsid w:val="00604539"/>
    <w:rsid w:val="00616294"/>
    <w:rsid w:val="00620177"/>
    <w:rsid w:val="0062183B"/>
    <w:rsid w:val="00626C43"/>
    <w:rsid w:val="00630C2B"/>
    <w:rsid w:val="0063647E"/>
    <w:rsid w:val="00636526"/>
    <w:rsid w:val="006379D7"/>
    <w:rsid w:val="0065183F"/>
    <w:rsid w:val="006604AC"/>
    <w:rsid w:val="00672AD9"/>
    <w:rsid w:val="00673DDB"/>
    <w:rsid w:val="006806CB"/>
    <w:rsid w:val="0069078D"/>
    <w:rsid w:val="00692C6F"/>
    <w:rsid w:val="006B49AB"/>
    <w:rsid w:val="006B5907"/>
    <w:rsid w:val="006D0C50"/>
    <w:rsid w:val="006D4887"/>
    <w:rsid w:val="006D676B"/>
    <w:rsid w:val="006E2B72"/>
    <w:rsid w:val="006E36EF"/>
    <w:rsid w:val="006E3980"/>
    <w:rsid w:val="006F06B7"/>
    <w:rsid w:val="006F3BC1"/>
    <w:rsid w:val="00700ED1"/>
    <w:rsid w:val="0070191F"/>
    <w:rsid w:val="00710FB0"/>
    <w:rsid w:val="00712F75"/>
    <w:rsid w:val="00732BBC"/>
    <w:rsid w:val="00732EE2"/>
    <w:rsid w:val="0073461C"/>
    <w:rsid w:val="00755921"/>
    <w:rsid w:val="00755942"/>
    <w:rsid w:val="00755F75"/>
    <w:rsid w:val="00760825"/>
    <w:rsid w:val="0077119F"/>
    <w:rsid w:val="0077165B"/>
    <w:rsid w:val="007752A1"/>
    <w:rsid w:val="00783570"/>
    <w:rsid w:val="007962F3"/>
    <w:rsid w:val="007A2890"/>
    <w:rsid w:val="007C138B"/>
    <w:rsid w:val="007C1F1B"/>
    <w:rsid w:val="007F5A05"/>
    <w:rsid w:val="007F6188"/>
    <w:rsid w:val="00803585"/>
    <w:rsid w:val="00814E8F"/>
    <w:rsid w:val="00816BDF"/>
    <w:rsid w:val="0083426E"/>
    <w:rsid w:val="00835204"/>
    <w:rsid w:val="00842FCC"/>
    <w:rsid w:val="0084406E"/>
    <w:rsid w:val="008457CB"/>
    <w:rsid w:val="008462FE"/>
    <w:rsid w:val="008507C5"/>
    <w:rsid w:val="00851E75"/>
    <w:rsid w:val="00857007"/>
    <w:rsid w:val="00863A65"/>
    <w:rsid w:val="008664B5"/>
    <w:rsid w:val="00875397"/>
    <w:rsid w:val="0089286B"/>
    <w:rsid w:val="00893346"/>
    <w:rsid w:val="00896AF7"/>
    <w:rsid w:val="008A3ABF"/>
    <w:rsid w:val="008B4179"/>
    <w:rsid w:val="008C67FD"/>
    <w:rsid w:val="008C6FD1"/>
    <w:rsid w:val="008D5B6F"/>
    <w:rsid w:val="008E4265"/>
    <w:rsid w:val="008F2F3C"/>
    <w:rsid w:val="008F5DB4"/>
    <w:rsid w:val="008F7205"/>
    <w:rsid w:val="0090243A"/>
    <w:rsid w:val="00924504"/>
    <w:rsid w:val="00925480"/>
    <w:rsid w:val="0093467A"/>
    <w:rsid w:val="00937517"/>
    <w:rsid w:val="00941342"/>
    <w:rsid w:val="009538DC"/>
    <w:rsid w:val="0096215E"/>
    <w:rsid w:val="009628AC"/>
    <w:rsid w:val="00963CDD"/>
    <w:rsid w:val="00970CC6"/>
    <w:rsid w:val="00974190"/>
    <w:rsid w:val="0097638D"/>
    <w:rsid w:val="009809DE"/>
    <w:rsid w:val="009813FF"/>
    <w:rsid w:val="009842F8"/>
    <w:rsid w:val="009A3122"/>
    <w:rsid w:val="009A637B"/>
    <w:rsid w:val="009A6C20"/>
    <w:rsid w:val="009B05F4"/>
    <w:rsid w:val="009C0A6D"/>
    <w:rsid w:val="009C4FD2"/>
    <w:rsid w:val="009D0F5D"/>
    <w:rsid w:val="009D1F26"/>
    <w:rsid w:val="009D3A42"/>
    <w:rsid w:val="009D4CDA"/>
    <w:rsid w:val="009D4D81"/>
    <w:rsid w:val="009D5736"/>
    <w:rsid w:val="009D5763"/>
    <w:rsid w:val="009E1F8A"/>
    <w:rsid w:val="009E66E6"/>
    <w:rsid w:val="009F2085"/>
    <w:rsid w:val="009F478B"/>
    <w:rsid w:val="00A01E64"/>
    <w:rsid w:val="00A039E4"/>
    <w:rsid w:val="00A10225"/>
    <w:rsid w:val="00A139C3"/>
    <w:rsid w:val="00A21721"/>
    <w:rsid w:val="00A22AE1"/>
    <w:rsid w:val="00A273AB"/>
    <w:rsid w:val="00A30D14"/>
    <w:rsid w:val="00A373EB"/>
    <w:rsid w:val="00A37C48"/>
    <w:rsid w:val="00A53F24"/>
    <w:rsid w:val="00A576DC"/>
    <w:rsid w:val="00A6740E"/>
    <w:rsid w:val="00A73388"/>
    <w:rsid w:val="00A7609E"/>
    <w:rsid w:val="00A80275"/>
    <w:rsid w:val="00A82E8A"/>
    <w:rsid w:val="00A84149"/>
    <w:rsid w:val="00A915C0"/>
    <w:rsid w:val="00AA035D"/>
    <w:rsid w:val="00AA1451"/>
    <w:rsid w:val="00AA2DCF"/>
    <w:rsid w:val="00AA609C"/>
    <w:rsid w:val="00AB2E3D"/>
    <w:rsid w:val="00AC063B"/>
    <w:rsid w:val="00AC06F6"/>
    <w:rsid w:val="00AC5330"/>
    <w:rsid w:val="00AE1BFF"/>
    <w:rsid w:val="00AF0EBE"/>
    <w:rsid w:val="00AF6212"/>
    <w:rsid w:val="00B0263B"/>
    <w:rsid w:val="00B026DF"/>
    <w:rsid w:val="00B07D91"/>
    <w:rsid w:val="00B10C5E"/>
    <w:rsid w:val="00B12B5E"/>
    <w:rsid w:val="00B13D22"/>
    <w:rsid w:val="00B154D6"/>
    <w:rsid w:val="00B26817"/>
    <w:rsid w:val="00B32E56"/>
    <w:rsid w:val="00B41213"/>
    <w:rsid w:val="00B44675"/>
    <w:rsid w:val="00B4486A"/>
    <w:rsid w:val="00B45472"/>
    <w:rsid w:val="00B46FC0"/>
    <w:rsid w:val="00B5022A"/>
    <w:rsid w:val="00B52AE3"/>
    <w:rsid w:val="00B560E6"/>
    <w:rsid w:val="00B60F5C"/>
    <w:rsid w:val="00B6726B"/>
    <w:rsid w:val="00B70495"/>
    <w:rsid w:val="00B704A9"/>
    <w:rsid w:val="00B81BFA"/>
    <w:rsid w:val="00B84FA0"/>
    <w:rsid w:val="00B94727"/>
    <w:rsid w:val="00BA01A5"/>
    <w:rsid w:val="00BA6B60"/>
    <w:rsid w:val="00BA7DFD"/>
    <w:rsid w:val="00BB220B"/>
    <w:rsid w:val="00BC242C"/>
    <w:rsid w:val="00BC4234"/>
    <w:rsid w:val="00BC799E"/>
    <w:rsid w:val="00BF11B2"/>
    <w:rsid w:val="00BF2E82"/>
    <w:rsid w:val="00BF3695"/>
    <w:rsid w:val="00C054F4"/>
    <w:rsid w:val="00C06F12"/>
    <w:rsid w:val="00C14898"/>
    <w:rsid w:val="00C30235"/>
    <w:rsid w:val="00C41B3C"/>
    <w:rsid w:val="00C42C8A"/>
    <w:rsid w:val="00C43037"/>
    <w:rsid w:val="00C4355D"/>
    <w:rsid w:val="00C44774"/>
    <w:rsid w:val="00C45A87"/>
    <w:rsid w:val="00C525EB"/>
    <w:rsid w:val="00C52D86"/>
    <w:rsid w:val="00C56530"/>
    <w:rsid w:val="00C639B3"/>
    <w:rsid w:val="00C718F9"/>
    <w:rsid w:val="00C7296B"/>
    <w:rsid w:val="00C72FBA"/>
    <w:rsid w:val="00C73539"/>
    <w:rsid w:val="00C7455F"/>
    <w:rsid w:val="00C75F84"/>
    <w:rsid w:val="00C8220C"/>
    <w:rsid w:val="00CA3E21"/>
    <w:rsid w:val="00CA4F5D"/>
    <w:rsid w:val="00CB29EE"/>
    <w:rsid w:val="00CB3654"/>
    <w:rsid w:val="00CB5BB1"/>
    <w:rsid w:val="00CC2183"/>
    <w:rsid w:val="00CC6B52"/>
    <w:rsid w:val="00CD25EB"/>
    <w:rsid w:val="00CE7F4B"/>
    <w:rsid w:val="00CF5593"/>
    <w:rsid w:val="00CF64A8"/>
    <w:rsid w:val="00D0105F"/>
    <w:rsid w:val="00D016F8"/>
    <w:rsid w:val="00D1121E"/>
    <w:rsid w:val="00D455EE"/>
    <w:rsid w:val="00D5448C"/>
    <w:rsid w:val="00D72734"/>
    <w:rsid w:val="00D737AD"/>
    <w:rsid w:val="00D73969"/>
    <w:rsid w:val="00D768F0"/>
    <w:rsid w:val="00DA0F6B"/>
    <w:rsid w:val="00DA623F"/>
    <w:rsid w:val="00DB4DBF"/>
    <w:rsid w:val="00DB532D"/>
    <w:rsid w:val="00DC1E89"/>
    <w:rsid w:val="00DC4320"/>
    <w:rsid w:val="00DF08F3"/>
    <w:rsid w:val="00DF44C9"/>
    <w:rsid w:val="00DF5DA6"/>
    <w:rsid w:val="00E07062"/>
    <w:rsid w:val="00E14F12"/>
    <w:rsid w:val="00E15E45"/>
    <w:rsid w:val="00E20750"/>
    <w:rsid w:val="00E20B3F"/>
    <w:rsid w:val="00E22B7E"/>
    <w:rsid w:val="00E23523"/>
    <w:rsid w:val="00E24333"/>
    <w:rsid w:val="00E332CB"/>
    <w:rsid w:val="00E343EB"/>
    <w:rsid w:val="00E528F2"/>
    <w:rsid w:val="00E546DB"/>
    <w:rsid w:val="00E57F59"/>
    <w:rsid w:val="00E74543"/>
    <w:rsid w:val="00E74D3A"/>
    <w:rsid w:val="00E85FDA"/>
    <w:rsid w:val="00E9165E"/>
    <w:rsid w:val="00E96722"/>
    <w:rsid w:val="00EA4AF7"/>
    <w:rsid w:val="00EC138F"/>
    <w:rsid w:val="00EC5D0D"/>
    <w:rsid w:val="00ED1BEA"/>
    <w:rsid w:val="00ED2D2C"/>
    <w:rsid w:val="00EF15EF"/>
    <w:rsid w:val="00F014F9"/>
    <w:rsid w:val="00F03852"/>
    <w:rsid w:val="00F0452D"/>
    <w:rsid w:val="00F0642D"/>
    <w:rsid w:val="00F10F26"/>
    <w:rsid w:val="00F129A3"/>
    <w:rsid w:val="00F31E80"/>
    <w:rsid w:val="00F324BA"/>
    <w:rsid w:val="00F34FBB"/>
    <w:rsid w:val="00F370AB"/>
    <w:rsid w:val="00F5010D"/>
    <w:rsid w:val="00F5240C"/>
    <w:rsid w:val="00F550EC"/>
    <w:rsid w:val="00F600C6"/>
    <w:rsid w:val="00F628E4"/>
    <w:rsid w:val="00F670E1"/>
    <w:rsid w:val="00F67737"/>
    <w:rsid w:val="00F67DA5"/>
    <w:rsid w:val="00F72FA1"/>
    <w:rsid w:val="00F96E6F"/>
    <w:rsid w:val="00FA0DD2"/>
    <w:rsid w:val="00FA171C"/>
    <w:rsid w:val="00FB4285"/>
    <w:rsid w:val="00FC14A9"/>
    <w:rsid w:val="00FC3807"/>
    <w:rsid w:val="00FE7F37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9A135-0B70-4E61-B556-3D79391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9C3"/>
  </w:style>
  <w:style w:type="paragraph" w:styleId="Pidipagina">
    <w:name w:val="footer"/>
    <w:basedOn w:val="Normale"/>
    <w:link w:val="Pidipagina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9C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rsid w:val="00A139C3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bCs/>
      <w:sz w:val="52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39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39C3"/>
  </w:style>
  <w:style w:type="paragraph" w:styleId="Titolo">
    <w:name w:val="Title"/>
    <w:basedOn w:val="Normale"/>
    <w:link w:val="TitoloCarattere"/>
    <w:qFormat/>
    <w:rsid w:val="00A139C3"/>
    <w:pPr>
      <w:spacing w:after="360" w:line="240" w:lineRule="auto"/>
      <w:jc w:val="center"/>
    </w:pPr>
    <w:rPr>
      <w:rFonts w:ascii="Arial" w:eastAsia="Times New Roman" w:hAnsi="Arial" w:cs="Arial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139C3"/>
    <w:rPr>
      <w:rFonts w:ascii="Arial" w:eastAsia="Times New Roman" w:hAnsi="Arial" w:cs="Arial"/>
      <w:b/>
      <w:i/>
      <w:sz w:val="36"/>
      <w:szCs w:val="24"/>
      <w:lang w:eastAsia="it-IT"/>
    </w:rPr>
  </w:style>
  <w:style w:type="paragraph" w:customStyle="1" w:styleId="LIV2">
    <w:name w:val="LIV2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444" w:after="171" w:line="12" w:lineRule="atLeast"/>
      <w:jc w:val="both"/>
    </w:pPr>
    <w:rPr>
      <w:rFonts w:ascii="UniversExBlkExt" w:eastAsia="Times New Roman" w:hAnsi="UniversExBlkExt" w:cs="UniversExBlkExt"/>
      <w:b/>
      <w:bCs/>
      <w:sz w:val="16"/>
      <w:szCs w:val="16"/>
      <w:lang w:eastAsia="it-IT"/>
    </w:rPr>
  </w:style>
  <w:style w:type="paragraph" w:customStyle="1" w:styleId="cpv">
    <w:name w:val="cpv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5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3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633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BC84-4323-4452-AB9E-3EB1F6A1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GuidoOffice</dc:creator>
  <cp:lastModifiedBy>Grazia Ambu</cp:lastModifiedBy>
  <cp:revision>2</cp:revision>
  <dcterms:created xsi:type="dcterms:W3CDTF">2020-11-24T09:04:00Z</dcterms:created>
  <dcterms:modified xsi:type="dcterms:W3CDTF">2020-11-24T09:04:00Z</dcterms:modified>
</cp:coreProperties>
</file>